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00" w:right="600" w:firstLine="0"/>
        <w:rPr>
          <w:b w:val="1"/>
          <w:i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b w:val="1"/>
          <w:i w:val="1"/>
          <w:color w:val="222222"/>
          <w:sz w:val="21"/>
          <w:szCs w:val="21"/>
          <w:highlight w:val="white"/>
          <w:rtl w:val="0"/>
        </w:rPr>
        <w:t xml:space="preserve">Accessibility for Future: il turismo al centro del cambiamento inclusivo</w:t>
      </w:r>
    </w:p>
    <w:p w:rsidR="00000000" w:rsidDel="00000000" w:rsidP="00000000" w:rsidRDefault="00000000" w:rsidRPr="00000000" w14:paraId="00000002">
      <w:pPr>
        <w:ind w:left="600" w:right="600" w:firstLine="0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Udine, lunedì 22 settembre 2025 – Si è chiusa sabato 20 settembre la seconda edizione di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Accessibility for Future</w:t>
      </w:r>
      <w:r w:rsidDel="00000000" w:rsidR="00000000" w:rsidRPr="00000000">
        <w:rPr>
          <w:color w:val="222222"/>
          <w:highlight w:val="white"/>
          <w:rtl w:val="0"/>
        </w:rPr>
        <w:t xml:space="preserve">, la rassegna organizzata da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IO CI VADO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APS</w:t>
      </w:r>
      <w:r w:rsidDel="00000000" w:rsidR="00000000" w:rsidRPr="00000000">
        <w:rPr>
          <w:color w:val="222222"/>
          <w:highlight w:val="white"/>
          <w:rtl w:val="0"/>
        </w:rPr>
        <w:t xml:space="preserve"> e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Willeasy</w:t>
      </w:r>
      <w:r w:rsidDel="00000000" w:rsidR="00000000" w:rsidRPr="00000000">
        <w:rPr>
          <w:color w:val="222222"/>
          <w:highlight w:val="white"/>
          <w:rtl w:val="0"/>
        </w:rPr>
        <w:t xml:space="preserve"> che ha trasformato Udine in un laboratorio di confronto e visione sul tema dell’accessibilità. Tre giorni di incontri, panel e laboratori hanno coinvolto operatori del turismo, dello sport e della formazione, con l’obiettivo di promuovere un approccio inclusivo e sostenibile nei servizi e nelle politiche pubbliche.</w:t>
      </w:r>
    </w:p>
    <w:p w:rsidR="00000000" w:rsidDel="00000000" w:rsidP="00000000" w:rsidRDefault="00000000" w:rsidRPr="00000000" w14:paraId="00000005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 gli appuntamenti più rilevanti, il panel “Turismo per tutti: un impegno comune per un settore senza barriere”, organizzato giovedì 18 settembre in collaborazione con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Travel Hashtag</w:t>
      </w:r>
      <w:r w:rsidDel="00000000" w:rsidR="00000000" w:rsidRPr="00000000">
        <w:rPr>
          <w:color w:val="222222"/>
          <w:highlight w:val="white"/>
          <w:rtl w:val="0"/>
        </w:rPr>
        <w:t xml:space="preserve">, ha posto l’accento su una prospettiva ancora poco indagata: l’accessibilità non come vincolo, ma come leva di opportunità per l’intero comparto turistico.</w:t>
      </w:r>
    </w:p>
    <w:p w:rsidR="00000000" w:rsidDel="00000000" w:rsidP="00000000" w:rsidRDefault="00000000" w:rsidRPr="00000000" w14:paraId="00000007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 intervenire, figure di rilievo come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Aljoša Ota</w:t>
      </w:r>
      <w:r w:rsidDel="00000000" w:rsidR="00000000" w:rsidRPr="00000000">
        <w:rPr>
          <w:color w:val="222222"/>
          <w:highlight w:val="white"/>
          <w:rtl w:val="0"/>
        </w:rPr>
        <w:t xml:space="preserve"> (Slovenian Tourist Board),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Leonardo Cesarini</w:t>
      </w:r>
      <w:r w:rsidDel="00000000" w:rsidR="00000000" w:rsidRPr="00000000">
        <w:rPr>
          <w:color w:val="222222"/>
          <w:highlight w:val="white"/>
          <w:rtl w:val="0"/>
        </w:rPr>
        <w:t xml:space="preserve"> (Trenord),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Cecilia Bortolotti</w:t>
      </w:r>
      <w:r w:rsidDel="00000000" w:rsidR="00000000" w:rsidRPr="00000000">
        <w:rPr>
          <w:color w:val="222222"/>
          <w:highlight w:val="white"/>
          <w:rtl w:val="0"/>
        </w:rPr>
        <w:t xml:space="preserve"> (Palazzo di Varignana),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Daniela Virgilio</w:t>
      </w:r>
      <w:r w:rsidDel="00000000" w:rsidR="00000000" w:rsidRPr="00000000">
        <w:rPr>
          <w:color w:val="222222"/>
          <w:highlight w:val="white"/>
          <w:rtl w:val="0"/>
        </w:rPr>
        <w:t xml:space="preserve"> (IsITT),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Carmen Bizzarri</w:t>
      </w:r>
      <w:r w:rsidDel="00000000" w:rsidR="00000000" w:rsidRPr="00000000">
        <w:rPr>
          <w:color w:val="222222"/>
          <w:highlight w:val="white"/>
          <w:rtl w:val="0"/>
        </w:rPr>
        <w:t xml:space="preserve"> (Università Europea di Roma) e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Luca Mauriello</w:t>
      </w:r>
      <w:r w:rsidDel="00000000" w:rsidR="00000000" w:rsidRPr="00000000">
        <w:rPr>
          <w:color w:val="222222"/>
          <w:highlight w:val="white"/>
          <w:rtl w:val="0"/>
        </w:rPr>
        <w:t xml:space="preserve"> (Projenia S.C.S.).</w:t>
      </w:r>
    </w:p>
    <w:p w:rsidR="00000000" w:rsidDel="00000000" w:rsidP="00000000" w:rsidRDefault="00000000" w:rsidRPr="00000000" w14:paraId="00000009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00" w:before="200" w:lineRule="auto"/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Durante l’incontro è emersa con forza la necessità di un impegno condiviso. I privati sono chiamati a investire con visione e responsabilità per rendere accessibili prodotti e servizi, coinvolgendo le amministrazioni pubbliche in un lavoro sinergico e concreto. Ma è il terzo settore, con la sua esperienza diretta e il radicamento sul territorio, a rappresentare un interlocutore imprescindibile per definire strategie realmente efficaci. Le soluzioni calate dall’alto, prive di ascolto e confronto, rischiano di restare sterili e scollegate dalla realtà.</w:t>
      </w:r>
    </w:p>
    <w:p w:rsidR="00000000" w:rsidDel="00000000" w:rsidP="00000000" w:rsidRDefault="00000000" w:rsidRPr="00000000" w14:paraId="0000000B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“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Dobbiamo costruire un turismo che includa, che duri: più intelligente nelle scelte, più umano nelle relazioni, più sostenibile nel tempo e nello spazio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”</w:t>
      </w:r>
      <w:r w:rsidDel="00000000" w:rsidR="00000000" w:rsidRPr="00000000">
        <w:rPr>
          <w:color w:val="222222"/>
          <w:highlight w:val="white"/>
          <w:rtl w:val="0"/>
        </w:rPr>
        <w:t xml:space="preserve">, ha dichiarato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Nicola Romanelli</w:t>
      </w:r>
      <w:r w:rsidDel="00000000" w:rsidR="00000000" w:rsidRPr="00000000">
        <w:rPr>
          <w:color w:val="222222"/>
          <w:highlight w:val="white"/>
          <w:rtl w:val="0"/>
        </w:rPr>
        <w:t xml:space="preserve"> (creatore del format Travel Hashtag e curatore del panel), sottolineando l’urgenza di una visione sistemica e condivisa.</w:t>
      </w:r>
    </w:p>
    <w:p w:rsidR="00000000" w:rsidDel="00000000" w:rsidP="00000000" w:rsidRDefault="00000000" w:rsidRPr="00000000" w14:paraId="0000000C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Il panel è stato preceduto dal talk "Inclusive Tourism in Europe", moderato da Riccardo Taverna, con la partecipazione di esperti internazionali: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Emiliano Deferrari</w:t>
      </w:r>
      <w:r w:rsidDel="00000000" w:rsidR="00000000" w:rsidRPr="00000000">
        <w:rPr>
          <w:color w:val="222222"/>
          <w:highlight w:val="white"/>
          <w:rtl w:val="0"/>
        </w:rPr>
        <w:t xml:space="preserve"> (ENAT),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Pedro Pimenta</w:t>
      </w:r>
      <w:r w:rsidDel="00000000" w:rsidR="00000000" w:rsidRPr="00000000">
        <w:rPr>
          <w:color w:val="222222"/>
          <w:highlight w:val="white"/>
          <w:rtl w:val="0"/>
        </w:rPr>
        <w:t xml:space="preserve"> (Università di Maia e Comune di Maia),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Luz Marina Gil López de Pablo</w:t>
      </w:r>
      <w:r w:rsidDel="00000000" w:rsidR="00000000" w:rsidRPr="00000000">
        <w:rPr>
          <w:color w:val="222222"/>
          <w:highlight w:val="white"/>
          <w:rtl w:val="0"/>
        </w:rPr>
        <w:t xml:space="preserve"> (Tur4All),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Valentini Stamatiadou</w:t>
      </w:r>
      <w:r w:rsidDel="00000000" w:rsidR="00000000" w:rsidRPr="00000000">
        <w:rPr>
          <w:color w:val="222222"/>
          <w:highlight w:val="white"/>
          <w:rtl w:val="0"/>
        </w:rPr>
        <w:t xml:space="preserve"> (University of the Aegean) e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Marta Wodyńska</w:t>
      </w:r>
      <w:r w:rsidDel="00000000" w:rsidR="00000000" w:rsidRPr="00000000">
        <w:rPr>
          <w:color w:val="222222"/>
          <w:highlight w:val="white"/>
          <w:rtl w:val="0"/>
        </w:rPr>
        <w:t xml:space="preserve"> (Città di Cracovia). L’incontro ha offerto una panoramica sullo stato del turismo inclusivo in Europa, evidenziando anche il potenziale impatto economico del settore.</w:t>
      </w:r>
    </w:p>
    <w:p w:rsidR="00000000" w:rsidDel="00000000" w:rsidP="00000000" w:rsidRDefault="00000000" w:rsidRPr="00000000" w14:paraId="0000000E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Per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Francesco Favero</w:t>
      </w:r>
      <w:r w:rsidDel="00000000" w:rsidR="00000000" w:rsidRPr="00000000">
        <w:rPr>
          <w:color w:val="222222"/>
          <w:highlight w:val="white"/>
          <w:rtl w:val="0"/>
        </w:rPr>
        <w:t xml:space="preserve"> (Vicepresidente di IO CI VADO APS) “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La costruzione di un turismo accessibile si fonda su tre dimensioni essenziali: la trasversalità, intesa come capacità di creare reti e condividere buone pratiche in una società complessa; la strategia, che implica una visione integrata tra pubblico, privato e terzo settore; e infine la bellezza, perché il diritto di ogni persona di accedere al patrimonio culturale e paesaggistico è il punto di partenza per generare una cultura autentica dell’inclusione e del rispetto delle diversità</w:t>
      </w:r>
      <w:r w:rsidDel="00000000" w:rsidR="00000000" w:rsidRPr="00000000">
        <w:rPr>
          <w:color w:val="222222"/>
          <w:highlight w:val="white"/>
          <w:rtl w:val="0"/>
        </w:rPr>
        <w:t xml:space="preserve">”.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60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brandsavetheworld </w:t>
      </w:r>
    </w:p>
    <w:p w:rsidR="00000000" w:rsidDel="00000000" w:rsidP="00000000" w:rsidRDefault="00000000" w:rsidRPr="00000000" w14:paraId="00000012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Strategy &amp; Communication</w:t>
      </w:r>
    </w:p>
    <w:p w:rsidR="00000000" w:rsidDel="00000000" w:rsidP="00000000" w:rsidRDefault="00000000" w:rsidRPr="00000000" w14:paraId="00000013">
      <w:pPr>
        <w:ind w:left="600" w:right="600" w:firstLine="0"/>
        <w:rPr>
          <w:color w:val="1155cc"/>
          <w:highlight w:val="white"/>
        </w:rPr>
      </w:pPr>
      <w:r w:rsidDel="00000000" w:rsidR="00000000" w:rsidRPr="00000000">
        <w:rPr>
          <w:color w:val="1155cc"/>
          <w:highlight w:val="white"/>
          <w:rtl w:val="0"/>
        </w:rPr>
        <w:t xml:space="preserve">ufficiostampa@brandsavetheworld.com</w:t>
      </w:r>
    </w:p>
    <w:p w:rsidR="00000000" w:rsidDel="00000000" w:rsidP="00000000" w:rsidRDefault="00000000" w:rsidRPr="00000000" w14:paraId="00000014">
      <w:pPr>
        <w:ind w:left="600" w:right="600" w:firstLine="0"/>
        <w:rPr>
          <w:color w:val="1155cc"/>
          <w:highlight w:val="white"/>
          <w:u w:val="single"/>
        </w:rPr>
      </w:pP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www.brandsavetheworld.com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brandsavetheworl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