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819"/>
          <w:tab w:val="right" w:leader="none" w:pos="10776.000000000002"/>
        </w:tabs>
        <w:ind w:left="-1133.8582677165355" w:firstLine="0"/>
        <w:jc w:val="center"/>
        <w:rPr>
          <w:b w:val="1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-364326</wp:posOffset>
            </wp:positionH>
            <wp:positionV relativeFrom="paragraph">
              <wp:posOffset>114300</wp:posOffset>
            </wp:positionV>
            <wp:extent cx="6119820" cy="6731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4855" t="26849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7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192.00000000000003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167.99999999999997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Comunicato Stampa</w:t>
      </w:r>
    </w:p>
    <w:p w:rsidR="00000000" w:rsidDel="00000000" w:rsidP="00000000" w:rsidRDefault="00000000" w:rsidRPr="00000000" w14:paraId="00000004">
      <w:pPr>
        <w:spacing w:line="167.99999999999997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92.00000000000003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ACCESSIBILITY FOR FUTURE 2025: </w:t>
      </w:r>
    </w:p>
    <w:p w:rsidR="00000000" w:rsidDel="00000000" w:rsidP="00000000" w:rsidRDefault="00000000" w:rsidRPr="00000000" w14:paraId="00000006">
      <w:pPr>
        <w:spacing w:line="192.00000000000003" w:lineRule="auto"/>
        <w:jc w:val="center"/>
        <w:rPr>
          <w:b w:val="1"/>
          <w:sz w:val="34"/>
          <w:szCs w:val="34"/>
          <w:highlight w:val="white"/>
        </w:rPr>
      </w:pPr>
      <w:r w:rsidDel="00000000" w:rsidR="00000000" w:rsidRPr="00000000">
        <w:rPr>
          <w:b w:val="1"/>
          <w:sz w:val="34"/>
          <w:szCs w:val="34"/>
          <w:highlight w:val="white"/>
          <w:rtl w:val="0"/>
        </w:rPr>
        <w:t xml:space="preserve">OLTRE 60 INCONTRI E 100 SPEAKER DALL’ITALIA E DALL’ESTERO</w:t>
      </w:r>
    </w:p>
    <w:p w:rsidR="00000000" w:rsidDel="00000000" w:rsidP="00000000" w:rsidRDefault="00000000" w:rsidRPr="00000000" w14:paraId="00000007">
      <w:pPr>
        <w:spacing w:line="216" w:lineRule="auto"/>
        <w:jc w:val="center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Dal 18 al 20 settembre a Fiera Udine Esposizioni l’evento organizzato da Willeasy e IO CI VADO</w:t>
      </w:r>
    </w:p>
    <w:p w:rsidR="00000000" w:rsidDel="00000000" w:rsidP="00000000" w:rsidRDefault="00000000" w:rsidRPr="00000000" w14:paraId="00000008">
      <w:pPr>
        <w:spacing w:line="167.99999999999997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Udine, settembre 2025 -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Udine città dell’innovazione inclusiva: convegni, seminari e attività formative; sport, musica e danza; laboratori per bambine e bambini; attività per scuole e famiglie; una startup competition; incontri e dimostrazioni con atleti paralimpici in una tre giorni in cui l’accessibilità rappresenta il motore di cambiamento per promuovere una trasformazione innovativa e inclusiva dal punto di vista sociale, tecnologico ed economico.</w:t>
      </w:r>
    </w:p>
    <w:p w:rsidR="00000000" w:rsidDel="00000000" w:rsidP="00000000" w:rsidRDefault="00000000" w:rsidRPr="00000000" w14:paraId="0000000A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Ideata come “un palcoscenico per il cambiamento e una voce per tutti”, la nuova edizione di “</w:t>
      </w:r>
      <w:r w:rsidDel="00000000" w:rsidR="00000000" w:rsidRPr="00000000">
        <w:rPr>
          <w:sz w:val="20"/>
          <w:szCs w:val="20"/>
          <w:rtl w:val="0"/>
        </w:rPr>
        <w:t xml:space="preserve">Accessibility for Future” racchiude in sé tante anime ed è rivolta a diversi tipi di pubblico: da 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ziende, startup, professionisti e pubbliche amministrazioni fino ad associazioni, scuole, famiglie, insegnanti, atleti e cittadinanza. </w:t>
      </w:r>
    </w:p>
    <w:p w:rsidR="00000000" w:rsidDel="00000000" w:rsidP="00000000" w:rsidRDefault="00000000" w:rsidRPr="00000000" w14:paraId="0000000C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 manifestazione si articolerà in giornate tematiche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giovedì 18 settembre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“Linking and shaping", venerdì 19 settembre “Learning &amp; Empowering” e sabato 20 settembre “Playing &amp; Experiencing”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ciascuna dedicata a uno o più pilastri dell’innovazione inclusiva. 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urismo, città intelligenti, accessibilità digitale e tecnologie emergenti, universal design, formazione, cultura e sport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saranno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 centro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di un dialogo trasversale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tra settori strategici con l’obiettivo di costruire un futuro più equo e sostenibile. </w:t>
      </w:r>
    </w:p>
    <w:p w:rsidR="00000000" w:rsidDel="00000000" w:rsidP="00000000" w:rsidRDefault="00000000" w:rsidRPr="00000000" w14:paraId="0000000E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 programma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giovedì 18 settembre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vede incontri rivolti principalmente a imprese, professionisti, PA ed enti del terzo settore, in cui le tematiche affrontate saranno 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urismo inclusivo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città intelligenti e open data, accessibilità digitale, tecnologie emergenti e universal design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Numerose attività e seminari rivolti alla cittadinanza 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alle associazioni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si terranno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venerdì 19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 sabato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20 settembre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spaziando tra formazione, musica, danza, cultura e sport. Le attività educative e formative, progettate per essere accessibili, inclusive e concrete, sono pensate per pubblici diversi,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tra cui: famiglie; scuole; docenti ed educatori; associazioni; organizzatori di eventi; architetti e progettisti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Vi sarà, poi, un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padiglione dedicato allo sport inclusivo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che vedrà la presenza di atleti paralimpici e non insieme a squadre e associazioni di diverse discipline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Si svolgeranno incontri con gli atleti, tornei, dimostrazioni, attività accessibili e formazione per una cultura sportiva aperta a tutte e a tutti. Tra le proposte, una competizione di baskin tra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squadre provenienti dal Friuli Venezia Giulia e dalla Croazia.</w:t>
      </w:r>
    </w:p>
    <w:p w:rsidR="00000000" w:rsidDel="00000000" w:rsidP="00000000" w:rsidRDefault="00000000" w:rsidRPr="00000000" w14:paraId="00000012">
      <w:pPr>
        <w:ind w:left="0" w:right="0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Nel corso dell’evento si svolgerà, inoltre, una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startup competition in collaborazione con TEC4I FVG e Unicorn Trainers Club Udine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in cui saranno premiate le migliori idee innovative per l’inclusione tra le startup e le microimprese previamente selezionate. Nei tre giorni della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manifestazione, infine, vi sarà un’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area in cui saranno presenti aziende, associazioni e un patronato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Sarà possibile conoscere allestimenti per la guida e il trasporto di persone con disabilità, ausili per sport e tempo libero, nonché ricevere consulenze in merito a pratiche relative al riconoscimento dell’invalidità, al conseguimento della patente speciale e ad agevolazioni fiscali per l’abbattimento delle barriere architettoniche. </w:t>
      </w:r>
    </w:p>
    <w:p w:rsidR="00000000" w:rsidDel="00000000" w:rsidP="00000000" w:rsidRDefault="00000000" w:rsidRPr="00000000" w14:paraId="00000013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fare da mascotte dell’evento sarà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Milla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il personaggio protagonista di “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Arriva Milla!”, il progetto di comunicazione di Sportfund Fondazione per lo sport ideato per esplorare il mondo della disabilità attraverso gli occhi di una bimba di cinque anni e mezzo. Con la sua “gamba robot" e un unicorno speciale, Milla “vive la sua disabilità” come una condizione non solo di normalità, ma, grazie alla tecnologia, di "supernormalità" e lotta per un mondo in cui avranno la meglio la cura dell’ambiente, l’inclusione sociale e la giustizia.</w:t>
      </w:r>
    </w:p>
    <w:p w:rsidR="00000000" w:rsidDel="00000000" w:rsidP="00000000" w:rsidRDefault="00000000" w:rsidRPr="00000000" w14:paraId="00000015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“Accessibility for Future” vede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PrimaCassa Credito Cooperativo FVG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nel ruolo di main partner ed è patrocinato da: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Dipartimento per la trasformazione digitale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ENIT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RAI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Consiglio Regionale della Regione autonoma Friuli Venezia Giulia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Comitato Italiano Paralimpico – Friuli Venezia Giulia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Camera di Commercio Pordenone–Udine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Confcommercio Udine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Comune di Udine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Comune di Martignacco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ANGLAT Nazionale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FISH FVG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Anffas Udine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Animaimpresa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Accessibility for Future gode inoltre della concessione all’utilizzo dei marchi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IO SONO FRIULI VENEZIA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GIULIA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GO! Borderless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«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Il turismo accessibile è cresciuto rapidamente ed entro il 2030 in Europa varrà quasi 90 miliardi di euro. Ma, al di là dei numeri, il vero cambiamento è culturale: sempre più persone rivendicano il diritto di viaggiare e vivere esperienze come tutti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– sottolinea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William Del Negro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presidente di Willeasy e IO CI VADO – C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on Accessibility for Future 2025 vogliamo dare voce a questo cambiamento. Dal 18 al 20 settembre porteremo a Udine buone pratiche da città italiane ed europee, testimonianze di aziende e startup che hanno fatto dell’inclusione il loro modello di business, ma anche momenti dedicati a scuole e famiglie, perché sono i giovani la chiave di un futuro senza barriere. L’inclusione si impara anche giocando e vivendo esperienze insieme e, lo dico sempre, quando si parla di accessibilità non ci sono competitor, ma potenziali partner. Solo insieme possiamo costruire un futuro migliore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67.99999999999997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PROGRAMMA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Presentato da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Riccardo Taverna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l’evento ospiterà oltre 60 incontri e 100 relatori e relatrici dall’Italia e dall’estero.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167.99999999999997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Giovedì 18 settembre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“Linking and shaping"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 gli incontri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giovedì 18 settembre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giornata rivolta principalmente ad aziende, professionisti, PA ed enti del terzo settore, si terranno: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City Vision Udine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</w:t>
      </w:r>
      <w:r w:rsidDel="00000000" w:rsidR="00000000" w:rsidRPr="00000000">
        <w:rPr>
          <w:b w:val="1"/>
          <w:sz w:val="20"/>
          <w:szCs w:val="20"/>
          <w:rtl w:val="0"/>
        </w:rPr>
        <w:t xml:space="preserve">Intelligenza connettiva: ridisegnare i territori a prova di futuro</w:t>
      </w:r>
      <w:r w:rsidDel="00000000" w:rsidR="00000000" w:rsidRPr="00000000">
        <w:rPr>
          <w:sz w:val="20"/>
          <w:szCs w:val="20"/>
          <w:rtl w:val="0"/>
        </w:rPr>
        <w:t xml:space="preserve">”) dalle</w:t>
      </w:r>
      <w:r w:rsidDel="00000000" w:rsidR="00000000" w:rsidRPr="00000000">
        <w:rPr>
          <w:b w:val="1"/>
          <w:sz w:val="20"/>
          <w:szCs w:val="20"/>
          <w:rtl w:val="0"/>
        </w:rPr>
        <w:t xml:space="preserve"> 11:00 alle 12:30</w:t>
      </w:r>
      <w:r w:rsidDel="00000000" w:rsidR="00000000" w:rsidRPr="00000000">
        <w:rPr>
          <w:sz w:val="20"/>
          <w:szCs w:val="20"/>
          <w:rtl w:val="0"/>
        </w:rPr>
        <w:t xml:space="preserve">; i panel sul turismo accessibile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Inclusive Tourism in Europe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”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14:00-15:00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e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Turismo per tutti: un impegno comune per un settore senza barriere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”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15:00-17:00)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curato da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Nicola Romanelli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ideatore del format Travel Hashtag; il seminario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“European Accessibility Act: Audit, test automatici e mantenimento” (10:30-13:00)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UsableNet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 dedicato a imprese, PA</w:t>
      </w:r>
      <w:r w:rsidDel="00000000" w:rsidR="00000000" w:rsidRPr="00000000">
        <w:rPr>
          <w:sz w:val="20"/>
          <w:szCs w:val="20"/>
          <w:rtl w:val="0"/>
        </w:rPr>
        <w:t xml:space="preserve">, professionisti e agenzie web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;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“Green Factor Challenge” (10:30-13:00)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workshop in modalità “sfida” che guida aziende turistiche, destinazioni, comunità e reti locali in un nuovo modo di fare storytelling sostenibile e inclusivo (a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Concetta D’Emma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; “Inserimento lavorativo delle persone con disabilità: opportunità e strumenti per le imprese” (10:30-13:00) a cura di Confcooperative Alpe Adria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in collaborazione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Regione FVG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ed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Eleva Group; “Gestire i turisti con disabilità” (10:30-17:00)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corso teorico-pratico per guide e operatori del turismo a cura di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IO CI VADO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167.99999999999997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Venerdì</w:t>
      </w:r>
      <w:r w:rsidDel="00000000" w:rsidR="00000000" w:rsidRPr="00000000">
        <w:rPr>
          <w:b w:val="1"/>
          <w:highlight w:val="white"/>
          <w:rtl w:val="0"/>
        </w:rPr>
        <w:t xml:space="preserve"> 19 settembre “Learning &amp; Empowering” 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Nella giornata dedicata alla formazione, alla crescita personale e alla diffusione della cultura dell’accessibilità attraverso musica, danza,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cultura e sport, sono presenti numerose proposte rivolte in particolar modo a scuole, associazioni e cittadinanza. Tra queste: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ScuolaTour-Ladri di Carrozzelle in concerto”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10.00-11:30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un concerto-dialogo per scuole secondarie di primo grado ideato dal primo gruppo rock in Italia formato in prevalenza da artisti con disabilità che, con energia, autoironia e musica “SBROCK”, dimostra alle nuove generazioni come talento e creatività possano superare ogni barriera e favorire un cambio di prospettiva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sull’inclusione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“Il Comitato Italiano Paralimpico incontra le scuole”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(11:30-14:00)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che vedrà la presenza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Michele Parenzan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 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squadra dei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Madracs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e, come ospite speciale,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Michele Antonutti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ex capitano APU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;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lo spettacolo di  flamenco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“Corazón Flamenco”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(15:00-16:00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Viento Flamenco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ASD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con le danzatrici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Lucrezia Pittolo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Lucia Tosto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insieme alla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Compañia Viento Flamenco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AMIRitmea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(dalle 16:00 alle 17:30)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il seminario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“MUSICA SENZA BARRIERE: il suono accessibile”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e, a seguire, il concerto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Suono dunque Sono: concerto dell’orchestra inclusiva”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in cui la musica diventa linguaggio universale e strumento di inclusione. Tra i diversi interventi: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“Palestra di Sicurezza: manuale per giovani coraggiosi pronti a ogni emergenza. Corso sulla sicurezza in presenza di persone con neurodivergenze” (14:00-16:00)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Elena Bulfone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(Progetto Autismo)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 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Ivan Buttignon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(Protezione Civile FVG);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Ansia e benessere a scuola: utopia o sfida raggiungibile?”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seminario per docenti, educatori, interior design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Kibrilla APS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Si terrà, inoltre, una p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artita dimostrativa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Wheelchair hockey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a cura dei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Madracs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167.99999999999997" w:lineRule="auto"/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Sabato 20 settembre “Playing &amp; Experiencing”</w:t>
      </w:r>
    </w:p>
    <w:p w:rsidR="00000000" w:rsidDel="00000000" w:rsidP="00000000" w:rsidRDefault="00000000" w:rsidRPr="00000000" w14:paraId="00000024">
      <w:pPr>
        <w:jc w:val="both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 giornata di sabato sarà dedicata al gioco, allo sport e a testimonianze con incontri, workshop, attività sportive e laboratori per bambini e bambine, famiglie, docenti ed educatori. Sarà presente la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trasmissione RAI “O anche no”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insieme alla sua conduttrice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Paola Severini Melograni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(g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iornalista, scrittrice, autrice e produttrice televisiva),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che modererà anche l’incontro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Quando la bici si prende cura” (14:00-15:00)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in cui interverranno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Michele Pittacolo, Simone Masotti e Riccardo Del 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 le iniziative,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“Organizzare un evento inclusivo”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10:00-13:00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cura dello psicologo del gioco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Alan Mattiass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i), un format interattivo basato sulla gamification per associazioni e a chi si occupa di organizzare eventi e vuole renderli più inclusivi e accessibili; l’incontro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Diritti dei viaggiatori con ridotta mobilità o disabilità”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14:00-15:00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con la presenza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Mark de Laurentiis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(ENAC) 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Claudio Puppo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(ANGLAT). Dalle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14:00 alle 17:00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il giornalista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Luca Perrino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(Leali delle Notizie) incontrerà diversi autori che, in modi diversi, affrontano il tema dell'accessibilità attraverso i loro libri: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Marco d'Alessio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"Che strada preferisce fare?"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alle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14:00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Giuseppe Sonnante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"Guida alla non autosufficienza"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alle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14:35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;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Emanuele Franz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"L'IO autistico”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alle 15:10;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Paolo Ferrari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"Progettare imbarcazioni accessibili")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alle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15:45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e, infine, alle 16:20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Paola Severini Melograni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"O anche no, da vicino nessuno è normale"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 programma del pomeriggio prevede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laboratori per bambini e bambine adatte a diverse fasce di età e pensati per essere accessibili a tutti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“Bimbiinstrada”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(15:00-15:30)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Alberto Deana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Paola Santin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Cycling Promotion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è un’attività ludica che coinvolge adulti (genitori, insegnanti, educatori, etc.) e bambini proposta agli alunni dell'ultimo anno della scuola dell’infanzia e del primo anno della scuola primaria. L’obiettivo è aumentare l'attenzione e la percezione sensoriale dei bambini quando sono sulla strada, per riconoscere pericoli e le novità, e, soprattutto, per adottare i buoni comportamenti che mantengono sicuri. I giochi possono essere svolti da bambini normodotati, con disabilità motorie non molto gravi, con alcune disabilità sensoriali (cecità, mutismo), ma non con gravi disabilità intellettive.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“Pabol, un drago in matematica” (15:30-16:30)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è un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laboratorio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Andrea Visentini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per la fascia 6-11 anni in cui la matematica non è solo numeri e formule, ma un'occasione per capire che ogni "problema" è un piccolo tesoro da scoprire, comprendere e conquistare. Ogni laboratorio, della durata di circa 20 minuti, prevede la presenza di 5-6 partecipanti. 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 laboratorio creativo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“Giocando con la Pimpa” (15:30-16:15)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rivolto alla fascia 3-7 anni e curato da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Elena Rocco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Fondazione Radio Magica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), stimola la fantasia attraverso il gioco e la narrazione ed è pensato per essere accessibile e inclusivo. Pimpa Magica è un'iniziativa nazionale che utilizza le storie della Pimpa per promuovere l'inclusione: queste sono presentate in formato audio e video con Lingua dei Segni Italiana (LIS), simboli della Comunicazione Aumentativa Alternativa (CAA) e audiodescrizione, rendendo la lettura accessibile a tutti i bambini, indipendentemente dalle loro abilità comunicative. 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“Il segreto di Milla” (16:15-17:00)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è un laboratorio per la fascia 3-7 anni a cura di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Annalisa Noacco (IO CI VADO)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di un’ora che unisce narrazione, disegno e gioco di movimento per stimolare creatività, espressione corporea ed empatia. Guidati dalla storia di Milla, una bambina con una gamba robot e un unicorno speciale, i partecipanti saranno coinvolti in attività che li porteranno a imitare gesti e movimenti ispirati al racconto; disegnare un “segreto speciale” legato ai propri sogni e desideri; partecipare a un gioco dinamico in cui ogni movimento unico diventa un valore per il gruppo; condividere le proprie creazioni attraverso la lettura e il dialogo. L’esperienza, accessibile e facilmente replicabile con materiali semplici, offre un percorso educativo inclusivo che incoraggia l’autonomia, il rispetto delle differenze e il senso di appartenenza. L'attività è pensata per far scoprire a ogni bambino e bambina che le differenze non solo esistono, ma arricchiscono l’esperienza comune, trasformandola in un momento di crescita personale e collettiva.</w:t>
      </w:r>
    </w:p>
    <w:p w:rsidR="00000000" w:rsidDel="00000000" w:rsidP="00000000" w:rsidRDefault="00000000" w:rsidRPr="00000000" w14:paraId="0000002B">
      <w:pPr>
        <w:spacing w:line="167.99999999999997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Per consultare il programma completo di “Accessibility for Future 2025”: </w:t>
      </w:r>
      <w:hyperlink r:id="rId7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https://www.accessibilityforfuture.com/event/accessibility-for-future-2025-1/agenda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167.99999999999997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67.99999999999997" w:lineRule="auto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192.00000000000003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CITTÀ INTELLIGENTI: CITY VISION UDINE</w:t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il secondo anno consecutivo, </w:t>
      </w:r>
      <w:r w:rsidDel="00000000" w:rsidR="00000000" w:rsidRPr="00000000">
        <w:rPr>
          <w:sz w:val="20"/>
          <w:szCs w:val="20"/>
          <w:rtl w:val="0"/>
        </w:rPr>
        <w:t xml:space="preserve">City Vision torna a Udine con l’incontro “</w:t>
      </w:r>
      <w:r w:rsidDel="00000000" w:rsidR="00000000" w:rsidRPr="00000000">
        <w:rPr>
          <w:b w:val="1"/>
          <w:sz w:val="20"/>
          <w:szCs w:val="20"/>
          <w:rtl w:val="0"/>
        </w:rPr>
        <w:t xml:space="preserve">Intelligenza connettiva: ridisegnare i territori a prova di futuro</w:t>
      </w:r>
      <w:r w:rsidDel="00000000" w:rsidR="00000000" w:rsidRPr="00000000">
        <w:rPr>
          <w:sz w:val="20"/>
          <w:szCs w:val="20"/>
          <w:rtl w:val="0"/>
        </w:rPr>
        <w:t xml:space="preserve">” (</w:t>
      </w:r>
      <w:r w:rsidDel="00000000" w:rsidR="00000000" w:rsidRPr="00000000">
        <w:rPr>
          <w:b w:val="1"/>
          <w:sz w:val="20"/>
          <w:szCs w:val="20"/>
          <w:rtl w:val="0"/>
        </w:rPr>
        <w:t xml:space="preserve">18 settembre</w:t>
      </w:r>
      <w:r w:rsidDel="00000000" w:rsidR="00000000" w:rsidRPr="00000000">
        <w:rPr>
          <w:sz w:val="20"/>
          <w:szCs w:val="20"/>
          <w:rtl w:val="0"/>
        </w:rPr>
        <w:t xml:space="preserve"> dalle </w:t>
      </w:r>
      <w:r w:rsidDel="00000000" w:rsidR="00000000" w:rsidRPr="00000000">
        <w:rPr>
          <w:b w:val="1"/>
          <w:sz w:val="20"/>
          <w:szCs w:val="20"/>
          <w:rtl w:val="0"/>
        </w:rPr>
        <w:t xml:space="preserve">11:00 alle 12:30</w:t>
      </w:r>
      <w:r w:rsidDel="00000000" w:rsidR="00000000" w:rsidRPr="00000000">
        <w:rPr>
          <w:sz w:val="20"/>
          <w:szCs w:val="20"/>
          <w:rtl w:val="0"/>
        </w:rPr>
        <w:t xml:space="preserve"> a Udine Esposizioni) all’interno del programma di Accessibility for Future. Nei tre panel tematici saranno raccontate esperienze concrete di mobilità, accessibilità e innovazione digitale. Tra istituzioni, pubbliche amministrazioni, aziende e startup, a presentare la tappa di Udine saranno </w:t>
      </w:r>
      <w:r w:rsidDel="00000000" w:rsidR="00000000" w:rsidRPr="00000000">
        <w:rPr>
          <w:b w:val="1"/>
          <w:sz w:val="20"/>
          <w:szCs w:val="20"/>
          <w:rtl w:val="0"/>
        </w:rPr>
        <w:t xml:space="preserve">Domenico Lanzilotta</w:t>
      </w:r>
      <w:r w:rsidDel="00000000" w:rsidR="00000000" w:rsidRPr="00000000">
        <w:rPr>
          <w:sz w:val="20"/>
          <w:szCs w:val="20"/>
          <w:rtl w:val="0"/>
        </w:rPr>
        <w:t xml:space="preserve">, direttore di City Vision, e </w:t>
      </w:r>
      <w:r w:rsidDel="00000000" w:rsidR="00000000" w:rsidRPr="00000000">
        <w:rPr>
          <w:b w:val="1"/>
          <w:sz w:val="20"/>
          <w:szCs w:val="20"/>
          <w:rtl w:val="0"/>
        </w:rPr>
        <w:t xml:space="preserve">William Del Negro</w:t>
      </w:r>
      <w:r w:rsidDel="00000000" w:rsidR="00000000" w:rsidRPr="00000000">
        <w:rPr>
          <w:sz w:val="20"/>
          <w:szCs w:val="20"/>
          <w:rtl w:val="0"/>
        </w:rPr>
        <w:t xml:space="preserve">, presidente di Willeasy e IO CI VADO. </w:t>
      </w:r>
    </w:p>
    <w:p w:rsidR="00000000" w:rsidDel="00000000" w:rsidP="00000000" w:rsidRDefault="00000000" w:rsidRPr="00000000" w14:paraId="0000003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 gli ospiti: </w:t>
      </w:r>
      <w:r w:rsidDel="00000000" w:rsidR="00000000" w:rsidRPr="00000000">
        <w:rPr>
          <w:b w:val="1"/>
          <w:sz w:val="20"/>
          <w:szCs w:val="20"/>
          <w:rtl w:val="0"/>
        </w:rPr>
        <w:t xml:space="preserve">Michele Pianetta</w:t>
      </w:r>
      <w:r w:rsidDel="00000000" w:rsidR="00000000" w:rsidRPr="00000000">
        <w:rPr>
          <w:sz w:val="20"/>
          <w:szCs w:val="20"/>
          <w:rtl w:val="0"/>
        </w:rPr>
        <w:t xml:space="preserve">, vicepresidente Anci Piemonte; </w:t>
      </w:r>
      <w:r w:rsidDel="00000000" w:rsidR="00000000" w:rsidRPr="00000000">
        <w:rPr>
          <w:b w:val="1"/>
          <w:sz w:val="20"/>
          <w:szCs w:val="20"/>
          <w:rtl w:val="0"/>
        </w:rPr>
        <w:t xml:space="preserve">Laura Sparavigna</w:t>
      </w:r>
      <w:r w:rsidDel="00000000" w:rsidR="00000000" w:rsidRPr="00000000">
        <w:rPr>
          <w:sz w:val="20"/>
          <w:szCs w:val="20"/>
          <w:rtl w:val="0"/>
        </w:rPr>
        <w:t xml:space="preserve">, assessora a servizi informativi, smart city e Innovazione, IA del Comune di Firenze;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Ivano Marchiol</w:t>
      </w:r>
      <w:r w:rsidDel="00000000" w:rsidR="00000000" w:rsidRPr="00000000">
        <w:rPr>
          <w:sz w:val="20"/>
          <w:szCs w:val="20"/>
          <w:rtl w:val="0"/>
        </w:rPr>
        <w:t xml:space="preserve">, assessore a lavori pubblici, viabilità e verde pubblico del Comune di Udine;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Lidia Diomede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assessora con delega a urbanistica, mobilità, bandi europei e rigenerazione urbana del Comune di Pordenone, </w:t>
      </w:r>
      <w:r w:rsidDel="00000000" w:rsidR="00000000" w:rsidRPr="00000000">
        <w:rPr>
          <w:sz w:val="20"/>
          <w:szCs w:val="20"/>
          <w:rtl w:val="0"/>
        </w:rPr>
        <w:t xml:space="preserve">e, in collegamento da remoto, </w:t>
      </w:r>
      <w:r w:rsidDel="00000000" w:rsidR="00000000" w:rsidRPr="00000000">
        <w:rPr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b w:val="1"/>
          <w:sz w:val="20"/>
          <w:szCs w:val="20"/>
          <w:rtl w:val="0"/>
        </w:rPr>
        <w:t xml:space="preserve">milio Robotti</w:t>
      </w:r>
      <w:r w:rsidDel="00000000" w:rsidR="00000000" w:rsidRPr="00000000">
        <w:rPr>
          <w:sz w:val="20"/>
          <w:szCs w:val="20"/>
          <w:rtl w:val="0"/>
        </w:rPr>
        <w:t xml:space="preserve">, assessore a mobilità sostenibile, trasporto pubblico, lavoro, servizi civici e diritto di cittadinanza del Comune di Genova.</w:t>
      </w:r>
    </w:p>
    <w:p w:rsidR="00000000" w:rsidDel="00000000" w:rsidP="00000000" w:rsidRDefault="00000000" w:rsidRPr="00000000" w14:paraId="00000032">
      <w:pPr>
        <w:spacing w:line="167.99999999999997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T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URISMO ACCESSIBILE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Il turismo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accessibile sarà al centro di talk e seminari che vedranno la presenza di </w:t>
      </w:r>
      <w:r w:rsidDel="00000000" w:rsidR="00000000" w:rsidRPr="00000000">
        <w:rPr>
          <w:sz w:val="20"/>
          <w:szCs w:val="20"/>
          <w:rtl w:val="0"/>
        </w:rPr>
        <w:t xml:space="preserve">referenti istituzionali nazionali ed europei, esperti del settore e rappresentanti del terzo settore. Si parlerà di dati, strategie, best practice e progetti virtuosi, promuovendo destinazioni inclusive e modelli di accoglienza capaci di rispondere alle esigenze di tutti. 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In agenda il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18 settembre, alle 14:00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Inclusive Tourism in Europe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”, incontro in lingua inglese moderato da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Riccardo Taverna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(PLEF) con la partecipazione di esperti internazionali come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Emiliano Deferrari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(ENAT),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Luz Marina Gil López de Pablo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(IMPULSA IGUALDAD),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Pedro Pimenta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(Universidade da Maia),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Valentini Stamatiadou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(University of the Aegean). A seguire, in italiano, il panel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Turismo per tutti: un impegno comune per un settore senza barriere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”, curato da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Nicola Romanelli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ideatore del format Travel Hashtag, e aperto alla cittadinanza, agli operatori e agli amministratori loc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ali.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Tra gli ospiti,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Aljoša Ota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(Slovenian Tourist Board),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Leonardo Cesarini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(Trenord),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Carmen Bizzarri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(Università Europea di Roma),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Cecilia Bortolotti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(Palazzo di Varignana),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Daniela Virgilio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(IsITT - Istituto Italiano per il Turismo per Tutti),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Luca Mauriello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(Projenia S.C.S.). Il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20 settembre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dalle 10:30 alle 13:30, il turismo torna al centro del forum con momenti dedicati alle destinazioni accessibili con interventi e testimonianze sulle sfide e le opportunità del turismo accessibile in Italia e all’estero. Tra i presenti,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Roberto Vitali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(Village for All),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Pietro Scidurlo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(Free Wheels) 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Zaira Magliozzi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(Autrice), moderatrice del talk “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Destinazioni accessibili: casi studio ed esperienze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” (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ore 11:30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). </w:t>
      </w:r>
    </w:p>
    <w:p w:rsidR="00000000" w:rsidDel="00000000" w:rsidP="00000000" w:rsidRDefault="00000000" w:rsidRPr="00000000" w14:paraId="00000035">
      <w:pPr>
        <w:spacing w:line="192.0000000000000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192.00000000000003" w:lineRule="auto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Per informazioni: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Sito: </w:t>
      </w:r>
      <w:hyperlink r:id="rId8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www.accessibilityforfuture.com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I Contatti: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info@accessibilityforfuture.com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I Tel. 0432 1690071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Programma: </w:t>
      </w:r>
      <w:hyperlink r:id="rId10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https://www.accessibilityforfuture.com/event/accessibility-for-future-2025-1/agenda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Area stampa: </w:t>
      </w:r>
      <w:hyperlink r:id="rId11">
        <w:r w:rsidDel="00000000" w:rsidR="00000000" w:rsidRPr="00000000">
          <w:rPr>
            <w:sz w:val="20"/>
            <w:szCs w:val="20"/>
            <w:highlight w:val="white"/>
            <w:u w:val="single"/>
            <w:rtl w:val="0"/>
          </w:rPr>
          <w:t xml:space="preserve">www.accessibilityforfuture.com/odoo/documents/l2jUrlBISyu6oNNZegwOrwo26a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92.00000000000003" w:lineRule="auto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Press Contact</w:t>
      </w:r>
    </w:p>
    <w:p w:rsidR="00000000" w:rsidDel="00000000" w:rsidP="00000000" w:rsidRDefault="00000000" w:rsidRPr="00000000" w14:paraId="0000003C">
      <w:pPr>
        <w:spacing w:line="192.00000000000003" w:lineRule="auto"/>
        <w:jc w:val="center"/>
        <w:rPr>
          <w:rFonts w:ascii="Inter Light" w:cs="Inter Light" w:eastAsia="Inter Light" w:hAnsi="Inter Light"/>
          <w:sz w:val="26"/>
          <w:szCs w:val="26"/>
        </w:rPr>
      </w:pPr>
      <w:hyperlink r:id="rId12">
        <w:r w:rsidDel="00000000" w:rsidR="00000000" w:rsidRPr="00000000">
          <w:rPr>
            <w:b w:val="1"/>
            <w:sz w:val="26"/>
            <w:szCs w:val="26"/>
            <w:highlight w:val="white"/>
            <w:u w:val="single"/>
            <w:rtl w:val="0"/>
          </w:rPr>
          <w:t xml:space="preserve">ufficiostampa@willeasy.net</w:t>
        </w:r>
      </w:hyperlink>
      <w:r w:rsidDel="00000000" w:rsidR="00000000" w:rsidRPr="00000000">
        <w:rPr>
          <w:rtl w:val="0"/>
        </w:rPr>
      </w:r>
    </w:p>
    <w:sectPr>
      <w:pgSz w:h="16840" w:w="11900" w:orient="portrait"/>
      <w:pgMar w:bottom="1134" w:top="850.393700787401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Inter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accessibilityforfuture.com/odoo/documents/l2jUrlBISyu6oNNZegwOrwo26a" TargetMode="External"/><Relationship Id="rId10" Type="http://schemas.openxmlformats.org/officeDocument/2006/relationships/hyperlink" Target="https://www.accessibilityforfuture.com/event/accessibility-for-future-2025-1/agenda" TargetMode="External"/><Relationship Id="rId12" Type="http://schemas.openxmlformats.org/officeDocument/2006/relationships/hyperlink" Target="mailto:ufficiostampa@willeasy.net" TargetMode="External"/><Relationship Id="rId9" Type="http://schemas.openxmlformats.org/officeDocument/2006/relationships/hyperlink" Target="mailto:info@accessibilityforfuture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accessibilityforfuture.com/event/accessibility-for-future-2025-1/agenda" TargetMode="External"/><Relationship Id="rId8" Type="http://schemas.openxmlformats.org/officeDocument/2006/relationships/hyperlink" Target="http://www.accessibilityforfutur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Light-regular.ttf"/><Relationship Id="rId2" Type="http://schemas.openxmlformats.org/officeDocument/2006/relationships/font" Target="fonts/InterLight-bold.ttf"/><Relationship Id="rId3" Type="http://schemas.openxmlformats.org/officeDocument/2006/relationships/font" Target="fonts/InterLight-italic.ttf"/><Relationship Id="rId4" Type="http://schemas.openxmlformats.org/officeDocument/2006/relationships/font" Target="fonts/Inter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